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4B9" w:rsidRDefault="001234B9" w:rsidP="001234B9">
      <w:pPr>
        <w:spacing w:after="0" w:line="240" w:lineRule="auto"/>
        <w:jc w:val="right"/>
        <w:rPr>
          <w:rFonts w:ascii="Arial" w:hAnsi="Arial" w:cs="Arial"/>
          <w:b/>
          <w:color w:val="000000" w:themeColor="text1"/>
          <w:sz w:val="20"/>
          <w:szCs w:val="20"/>
        </w:rPr>
      </w:pPr>
      <w:r w:rsidRPr="00B539AF">
        <w:rPr>
          <w:rFonts w:ascii="Arial" w:hAnsi="Arial" w:cs="Arial"/>
          <w:b/>
          <w:color w:val="000000" w:themeColor="text1"/>
          <w:sz w:val="20"/>
          <w:szCs w:val="20"/>
        </w:rPr>
        <w:t>Mẫu số 08/PLIII</w:t>
      </w:r>
    </w:p>
    <w:p w:rsidR="001234B9" w:rsidRDefault="001234B9" w:rsidP="001234B9">
      <w:pPr>
        <w:spacing w:after="0" w:line="240" w:lineRule="auto"/>
        <w:jc w:val="center"/>
        <w:rPr>
          <w:rFonts w:ascii="Arial" w:hAnsi="Arial" w:cs="Arial"/>
          <w:b/>
          <w:color w:val="000000" w:themeColor="text1"/>
          <w:sz w:val="20"/>
          <w:szCs w:val="20"/>
          <w:vertAlign w:val="superscript"/>
        </w:rPr>
      </w:pPr>
      <w:r w:rsidRPr="00B539AF">
        <w:rPr>
          <w:rFonts w:ascii="Arial" w:hAnsi="Arial" w:cs="Arial"/>
          <w:b/>
          <w:color w:val="000000" w:themeColor="text1"/>
          <w:sz w:val="20"/>
          <w:szCs w:val="20"/>
        </w:rPr>
        <w:t xml:space="preserve"> KẾ HOẠCH BẢO ĐẢM AN NINH NGUỒN PHÓNG XẠ TRONG</w:t>
      </w:r>
      <w:r w:rsidRPr="00B539AF">
        <w:rPr>
          <w:rFonts w:ascii="Arial" w:hAnsi="Arial" w:cs="Arial"/>
          <w:color w:val="000000" w:themeColor="text1"/>
          <w:sz w:val="20"/>
          <w:szCs w:val="20"/>
        </w:rPr>
        <w:br/>
      </w:r>
      <w:r w:rsidRPr="00B539AF">
        <w:rPr>
          <w:rFonts w:ascii="Arial" w:hAnsi="Arial" w:cs="Arial"/>
          <w:b/>
          <w:color w:val="000000" w:themeColor="text1"/>
          <w:sz w:val="20"/>
          <w:szCs w:val="20"/>
        </w:rPr>
        <w:t xml:space="preserve"> QUÁ TRÌNH VẬN CHUYỂN BẰNG ĐƯỜNG BỘ, ĐƯỜNG SẮT</w:t>
      </w:r>
      <w:r>
        <w:rPr>
          <w:rFonts w:ascii="Arial" w:hAnsi="Arial" w:cs="Arial"/>
          <w:b/>
          <w:color w:val="000000" w:themeColor="text1"/>
          <w:sz w:val="20"/>
          <w:szCs w:val="20"/>
        </w:rPr>
        <w:br/>
      </w:r>
      <w:r w:rsidRPr="00B539AF">
        <w:rPr>
          <w:rFonts w:ascii="Arial" w:hAnsi="Arial" w:cs="Arial"/>
          <w:b/>
          <w:color w:val="000000" w:themeColor="text1"/>
          <w:sz w:val="20"/>
          <w:szCs w:val="20"/>
        </w:rPr>
        <w:t>VÀ ĐƯỜNG THỦY NỘI ĐỊA</w:t>
      </w:r>
      <w:r>
        <w:rPr>
          <w:rFonts w:ascii="Arial" w:hAnsi="Arial" w:cs="Arial"/>
          <w:b/>
          <w:color w:val="000000" w:themeColor="text1"/>
          <w:sz w:val="20"/>
          <w:szCs w:val="20"/>
          <w:vertAlign w:val="superscript"/>
        </w:rPr>
        <w:t>1</w:t>
      </w:r>
    </w:p>
    <w:p w:rsidR="001234B9" w:rsidRPr="008D45C9" w:rsidRDefault="001234B9" w:rsidP="001234B9">
      <w:pPr>
        <w:spacing w:after="0" w:line="240" w:lineRule="auto"/>
        <w:jc w:val="center"/>
        <w:rPr>
          <w:rFonts w:ascii="Arial" w:hAnsi="Arial" w:cs="Arial"/>
          <w:color w:val="000000" w:themeColor="text1"/>
          <w:sz w:val="20"/>
          <w:szCs w:val="20"/>
          <w:vertAlign w:val="superscript"/>
        </w:rPr>
      </w:pP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xin cấp phép</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có trách nhiệm liên quan trong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gửi nguồn phóng xạ (bên gửi)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vận chuyển nguồn phóng xạ (bên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tổ chức, cá nhân nhận nguồn phóng xạ (bên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tổ chức, cá nhân: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(nếu khác so với địa chỉ nơi đặt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tham gia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áp tải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Chứng nhận đào tạo an toàn bức xạ (số giấy chứng nhận đào tạo an toàn bức xạ, nơi cấp và ngày cấp giấy chứng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giám sát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Thông tin liên lạc (số điện thoại cố định, số điện thoại di động, số fax, địa chỉ,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3.3.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lái xe</w:t>
      </w:r>
      <w:r>
        <w:rPr>
          <w:rFonts w:ascii="Arial" w:hAnsi="Arial" w:cs="Arial"/>
          <w:b/>
          <w:color w:val="000000" w:themeColor="text1"/>
          <w:sz w:val="20"/>
          <w:szCs w:val="20"/>
          <w:vertAlign w:val="superscript"/>
        </w:rPr>
        <w:t>2</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3.4.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cán bộ Công an tham gia vận chuyển</w:t>
      </w:r>
      <w:r>
        <w:rPr>
          <w:rFonts w:ascii="Arial" w:hAnsi="Arial" w:cs="Arial"/>
          <w:b/>
          <w:color w:val="000000" w:themeColor="text1"/>
          <w:sz w:val="20"/>
          <w:szCs w:val="20"/>
          <w:vertAlign w:val="superscript"/>
        </w:rPr>
        <w:t>3</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Đơn vị chủ quản: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các tổ chức, cá nhân trong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định chung</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Tổ chức, cá nhân được cấp phép vận chuyển nguồn phóng xạ có trách nhiệm phối hợp với các bên có liên quan xây dựng, thực hiện Kế hoạch bảo đảm an ninh vận chuyển nguồn phóng xạ và chỉ định người giám sát kiện hàng trong suốt quá trình vận chuyển. Rà soát, bổ sung, cập nhật Kế hoạch bảo đảm an ninh vận chuyển khi có khuyến cáo từ cơ quan quản lý nhà nước hoặc khi có những bài học kinh nghiệm rút ra từ những sự cố đã xảy ra.</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Tổ chức, cá nhân được cấp phép vận chuyển nguồn phóng xạ thuộc mức an ninh A có trách nhiệm thỏa thuận với cơ quan công an để cử cán bộ cùng tham gia áp tải chuyến hàng để có được quyền ưu tiên khi lưu thông trên đường và sẵn sàng ứng phó với các trường hợp mất an ninh đối với kiện hàng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Bảo đảm nhân thân tin cậy của người tham gia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Kế hoạch bảo đảm an ninh theo quy định trong giai đoạn nguồn phóng xạ thuộc quyền kiểm soát và trách nhiệm của mình.</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Việc chuyển giao trách nhiệm về bảo đảm an ninh giữa bên gửi, bên vận chuyển và bên nhận tại các thời điểm giao, nhận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gửi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bàn giao cho bên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với nguồn phóng xạ mức an ninh A và B, thông báo và xác nhận với bên nhận về thời gian dự kiến chuyển giao hàng trước khi thực hiện việc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color w:val="000000" w:themeColor="text1"/>
          <w:sz w:val="20"/>
          <w:szCs w:val="20"/>
        </w:rPr>
        <w:t>- Lựa chọn tuyến đường vận chuyển thích hợp bảo đảm ít bị ùn tắc giao thông, ít rủi ro về an toàn giao thông, tránh những khu vực có vấn đề về mặt an ninh, bảo đảm thời gian vận chuyển tối thiểu, xác định rõ các điểm dừng đỗ trên tuyến đường vận chuyển; lập phương án và tuyến đường vận chuyển dự phòng trong trường hợp tuyến đường vận chuyển chính không thể đi được.</w:t>
      </w:r>
      <w:r>
        <w:rPr>
          <w:rFonts w:ascii="Arial" w:hAnsi="Arial" w:cs="Arial"/>
          <w:color w:val="000000" w:themeColor="text1"/>
          <w:sz w:val="20"/>
          <w:szCs w:val="20"/>
          <w:vertAlign w:val="superscript"/>
        </w:rPr>
        <w:t>4</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Gắn dấu hiệu cảnh báo bức xạ ion hóa và dấu hiệu cảnh báo bức xạ bổ sung theo quy định Phụ lục II ban hành kèm theo Thông tư này.</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Áp dụng biện pháp để xác định vị trí phương tiện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Hướng dẫn về các yêu cầu bảo đảm an ninh, trách nhiệm và quy trình ứng phó cho mọi thành viên tham gia vận chuyển, bao gồm cả trách nhiệm thường xuyên kiểm tra an ninh đối với kiện hàng trong quá trình vận chuyển; chỉ định trong nhóm vận chuyển một người chịu trách nhiệm áp tải kiện hàng trong suốt quá trình vận chuyển và tại các điểm dừng đỗ dọc tuyến đường vận chuyển; trang bị thẻ nhận diện cho các thành viên tham gia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Kiểm tra và xác nhận lại về thời gian giao nhận, địa điểm giao nhận kiện hàng với bên gửi, bên nhận, các địa chỉ liên lạc trong trường hợp khẩn cấp và thông tin của lộ trình tuyến đường (tắc đường, mưa lũ, đường bị chặn tạm thời vì các lý do khác) trước khi bắt đầu Kế hoạch bảo đảm an ninh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với vận chuyển bằng đường sắt, sử dụng toa chở hàng có khóa để vận chuyển và áp dụng biện pháp để cố định kiện hàng với toa tàu nhằm ngăn chặn việc di dời trái phép.</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nhận từ bên gửi và bàn giao cho bên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Trách nhiệm của bên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Thực hiện các yêu cầu được mô tả tại mục 4.1. của Kế hoạch này.</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khóa và dấu niêm phong của kiện hàng chứa nguồn phóng xạ trước khi nhận bàn giao từ bên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Bảo đảm trách nhiệm tiếp nhận nguồn phóng xạ theo đúng kế hoạch vận chuyển đã được báo trước.</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báo cho bên gửi về việc đã nhận hay không nhận được kiện hàng theo thời gian dự kiến.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Sơ đồ cơ cấu tổ chức thực hiện trong quá trình vận chuyển</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Xây dựng sơ đồ, cơ chế hoạt động và liệt kê các tổ chức có liên quan trong quá trình vận chuyển. Sơ đồ được xây dựng theo cấu trúc như ví dụ dưới đây:</w:t>
      </w:r>
    </w:p>
    <w:p w:rsidR="001234B9" w:rsidRPr="00B539AF" w:rsidRDefault="001234B9" w:rsidP="001234B9">
      <w:pPr>
        <w:spacing w:after="0" w:line="240" w:lineRule="auto"/>
        <w:jc w:val="center"/>
        <w:rPr>
          <w:rFonts w:ascii="Arial" w:hAnsi="Arial" w:cs="Arial"/>
          <w:color w:val="000000" w:themeColor="text1"/>
          <w:sz w:val="20"/>
          <w:szCs w:val="20"/>
        </w:rPr>
      </w:pPr>
      <w:r w:rsidRPr="00910E00">
        <w:rPr>
          <w:rFonts w:ascii="Arial" w:hAnsi="Arial" w:cs="Arial"/>
          <w:noProof/>
          <w:color w:val="000000" w:themeColor="text1"/>
          <w:sz w:val="20"/>
          <w:szCs w:val="20"/>
        </w:rPr>
        <w:drawing>
          <wp:inline distT="0" distB="0" distL="0" distR="0" wp14:anchorId="06BEA7D6" wp14:editId="5B3973E3">
            <wp:extent cx="5040532" cy="430960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072166" cy="4336654"/>
                    </a:xfrm>
                    <a:prstGeom prst="rect">
                      <a:avLst/>
                    </a:prstGeom>
                  </pic:spPr>
                </pic:pic>
              </a:graphicData>
            </a:graphic>
          </wp:inline>
        </w:drawing>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các bộ phận, đơn vị, phòng ban chịu trách nhiệm bảo đảm an ninh.</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Cung cấp danh sách các cán bộ liên quan đến bản Kế hoạch. </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nguồn phóng xạ/thiết bị bức xạ</w:t>
      </w:r>
    </w:p>
    <w:p w:rsidR="001234B9" w:rsidRPr="00910E00" w:rsidRDefault="001234B9" w:rsidP="001234B9">
      <w:pPr>
        <w:adjustRightInd w:val="0"/>
        <w:snapToGrid w:val="0"/>
        <w:spacing w:after="120" w:line="240" w:lineRule="auto"/>
        <w:ind w:firstLine="720"/>
        <w:jc w:val="both"/>
        <w:rPr>
          <w:rFonts w:ascii="Arial" w:hAnsi="Arial" w:cs="Arial"/>
          <w:b/>
          <w:i/>
          <w:color w:val="000000" w:themeColor="text1"/>
          <w:sz w:val="20"/>
          <w:szCs w:val="20"/>
        </w:rPr>
      </w:pPr>
      <w:r w:rsidRPr="00910E00">
        <w:rPr>
          <w:rFonts w:ascii="Arial" w:hAnsi="Arial" w:cs="Arial"/>
          <w:b/>
          <w:i/>
          <w:color w:val="000000" w:themeColor="text1"/>
          <w:sz w:val="20"/>
          <w:szCs w:val="20"/>
        </w:rPr>
        <w:lastRenderedPageBreak/>
        <w:t>1.1.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 xml:space="preserve">Mô tả thông tin về nguồn phóng xạ </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-Tên đồng vị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hiệu (Model):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sêri (Serial Number):</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Hoạt độ (Bq hoặc 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Ngày xác định hoạt độ:</w:t>
      </w:r>
    </w:p>
    <w:p w:rsidR="001234B9" w:rsidRPr="00CF7575"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CF7575">
        <w:rPr>
          <w:rFonts w:ascii="Arial" w:hAnsi="Arial" w:cs="Arial"/>
          <w:color w:val="000000" w:themeColor="text1"/>
          <w:sz w:val="20"/>
          <w:szCs w:val="20"/>
        </w:rPr>
        <w:t>- Hãng, nước sản xuất:</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Nhóm nguồn phóng xạ:</w:t>
      </w:r>
      <w:r w:rsidRPr="008D45C9">
        <w:rPr>
          <w:rFonts w:ascii="Arial" w:hAnsi="Arial" w:cs="Arial"/>
          <w:color w:val="000000" w:themeColor="text1"/>
          <w:sz w:val="20"/>
          <w:szCs w:val="20"/>
        </w:rPr>
        <w:tab/>
      </w:r>
      <w:r w:rsidRPr="008D45C9">
        <w:rPr>
          <w:rFonts w:ascii="Arial" w:hAnsi="Arial" w:cs="Arial"/>
          <w:color w:val="000000" w:themeColor="text1"/>
          <w:sz w:val="20"/>
          <w:szCs w:val="20"/>
        </w:rPr>
        <w:tab/>
      </w:r>
      <w:r w:rsidRPr="008D45C9">
        <w:rPr>
          <w:rFonts w:ascii="Arial" w:hAnsi="Arial" w:cs="Arial"/>
          <w:color w:val="000000" w:themeColor="text1"/>
          <w:sz w:val="20"/>
          <w:szCs w:val="20"/>
        </w:rPr>
        <w:tab/>
        <w:t>Mức an nin</w:t>
      </w:r>
      <w:r>
        <w:rPr>
          <w:rFonts w:ascii="Arial" w:hAnsi="Arial" w:cs="Arial"/>
          <w:color w:val="000000" w:themeColor="text1"/>
          <w:sz w:val="20"/>
          <w:szCs w:val="20"/>
        </w:rPr>
        <w:t>h:</w:t>
      </w:r>
    </w:p>
    <w:p w:rsidR="001234B9" w:rsidRPr="008D45C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8D45C9">
        <w:rPr>
          <w:rFonts w:ascii="Arial" w:hAnsi="Arial" w:cs="Arial"/>
          <w:color w:val="000000" w:themeColor="text1"/>
          <w:sz w:val="20"/>
          <w:szCs w:val="20"/>
        </w:rPr>
        <w:t>- Thành phần hóa học:</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Dạng vật lý (rắn, lỏng, khí):</w:t>
      </w:r>
    </w:p>
    <w:p w:rsidR="001234B9" w:rsidRPr="00CF7575"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CF7575">
        <w:rPr>
          <w:rFonts w:ascii="Arial" w:hAnsi="Arial" w:cs="Arial"/>
          <w:color w:val="000000" w:themeColor="text1"/>
          <w:sz w:val="20"/>
          <w:szCs w:val="20"/>
        </w:rPr>
        <w:t>- Loại hình đóng gói:</w:t>
      </w:r>
    </w:p>
    <w:p w:rsidR="001234B9" w:rsidRPr="00CF7575"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CF7575">
        <w:rPr>
          <w:rFonts w:ascii="Arial" w:hAnsi="Arial" w:cs="Arial"/>
          <w:color w:val="000000" w:themeColor="text1"/>
          <w:sz w:val="20"/>
          <w:szCs w:val="20"/>
        </w:rPr>
        <w:t>- Số kiện hàng:</w:t>
      </w:r>
    </w:p>
    <w:p w:rsidR="001234B9" w:rsidRPr="00CF7575"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CF7575">
        <w:rPr>
          <w:rFonts w:ascii="Arial" w:hAnsi="Arial" w:cs="Arial"/>
          <w:color w:val="000000" w:themeColor="text1"/>
          <w:sz w:val="20"/>
          <w:szCs w:val="20"/>
        </w:rPr>
        <w:t>- Mã Liên hợp quốc:</w:t>
      </w:r>
    </w:p>
    <w:p w:rsidR="001234B9" w:rsidRPr="00CF7575"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CF7575">
        <w:rPr>
          <w:rFonts w:ascii="Arial" w:hAnsi="Arial" w:cs="Arial"/>
          <w:color w:val="000000" w:themeColor="text1"/>
          <w:sz w:val="20"/>
          <w:szCs w:val="20"/>
        </w:rPr>
        <w:t>- Chỉ số vận chuyển:</w:t>
      </w:r>
    </w:p>
    <w:p w:rsidR="001234B9" w:rsidRPr="00CF7575" w:rsidRDefault="001234B9" w:rsidP="001234B9">
      <w:pPr>
        <w:adjustRightInd w:val="0"/>
        <w:snapToGrid w:val="0"/>
        <w:spacing w:after="120" w:line="240" w:lineRule="auto"/>
        <w:ind w:firstLine="720"/>
        <w:jc w:val="both"/>
        <w:rPr>
          <w:rFonts w:ascii="Arial" w:hAnsi="Arial" w:cs="Arial"/>
          <w:i/>
          <w:color w:val="000000" w:themeColor="text1"/>
          <w:sz w:val="20"/>
          <w:szCs w:val="20"/>
          <w:vertAlign w:val="superscript"/>
        </w:rPr>
      </w:pPr>
      <w:r w:rsidRPr="00CF7575">
        <w:rPr>
          <w:rFonts w:ascii="Arial" w:hAnsi="Arial" w:cs="Arial"/>
          <w:b/>
          <w:i/>
          <w:color w:val="000000" w:themeColor="text1"/>
          <w:sz w:val="20"/>
          <w:szCs w:val="20"/>
        </w:rPr>
        <w:t>1.2.</w:t>
      </w:r>
      <w:r w:rsidRPr="00CF7575">
        <w:rPr>
          <w:rFonts w:ascii="Arial" w:hAnsi="Arial" w:cs="Arial"/>
          <w:i/>
          <w:color w:val="000000" w:themeColor="text1"/>
          <w:sz w:val="20"/>
          <w:szCs w:val="20"/>
        </w:rPr>
        <w:t xml:space="preserve"> </w:t>
      </w:r>
      <w:r w:rsidRPr="00CF7575">
        <w:rPr>
          <w:rFonts w:ascii="Arial" w:hAnsi="Arial" w:cs="Arial"/>
          <w:b/>
          <w:i/>
          <w:color w:val="000000" w:themeColor="text1"/>
          <w:sz w:val="20"/>
          <w:szCs w:val="20"/>
        </w:rPr>
        <w:t>Mô tả thông tin thiết bị đi kèm sử dụng nguồn phóng xạ nói trên</w:t>
      </w:r>
      <w:r w:rsidRPr="00CF7575">
        <w:rPr>
          <w:rFonts w:ascii="Arial" w:hAnsi="Arial" w:cs="Arial"/>
          <w:b/>
          <w:i/>
          <w:color w:val="000000" w:themeColor="text1"/>
          <w:sz w:val="20"/>
          <w:szCs w:val="20"/>
          <w:vertAlign w:val="superscript"/>
        </w:rPr>
        <w:t>5</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hiệu (Model):</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sêri (Serial Number):</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Hãng, nước sản xuất: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Năm sản xuất: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Thiết bị di động hay lắp đặt cố định: </w:t>
      </w:r>
      <w:r>
        <w:rPr>
          <w:rFonts w:ascii="Arial" w:hAnsi="Arial" w:cs="Arial"/>
          <w:color w:val="000000" w:themeColor="text1"/>
          <w:sz w:val="20"/>
          <w:szCs w:val="20"/>
        </w:rPr>
        <w:tab/>
      </w:r>
      <w:r w:rsidRPr="00B539AF">
        <w:rPr>
          <w:rFonts w:ascii="Arial" w:hAnsi="Arial" w:cs="Arial"/>
          <w:color w:val="000000" w:themeColor="text1"/>
          <w:sz w:val="20"/>
          <w:szCs w:val="20"/>
        </w:rPr>
        <w:t xml:space="preserve">□ Di động </w:t>
      </w:r>
      <w:r>
        <w:rPr>
          <w:rFonts w:ascii="Arial" w:hAnsi="Arial" w:cs="Arial"/>
          <w:color w:val="000000" w:themeColor="text1"/>
          <w:sz w:val="20"/>
          <w:szCs w:val="20"/>
        </w:rPr>
        <w:tab/>
      </w:r>
      <w:r w:rsidRPr="00B539AF">
        <w:rPr>
          <w:rFonts w:ascii="Arial" w:hAnsi="Arial" w:cs="Arial"/>
          <w:color w:val="000000" w:themeColor="text1"/>
          <w:sz w:val="20"/>
          <w:szCs w:val="20"/>
        </w:rPr>
        <w:t xml:space="preserve">□ </w:t>
      </w:r>
      <w:r>
        <w:rPr>
          <w:rFonts w:ascii="Arial" w:hAnsi="Arial" w:cs="Arial"/>
          <w:color w:val="000000" w:themeColor="text1"/>
          <w:sz w:val="20"/>
          <w:szCs w:val="20"/>
        </w:rPr>
        <w:t>C</w:t>
      </w:r>
      <w:r w:rsidRPr="00B539AF">
        <w:rPr>
          <w:rFonts w:ascii="Arial" w:hAnsi="Arial" w:cs="Arial"/>
          <w:color w:val="000000" w:themeColor="text1"/>
          <w:sz w:val="20"/>
          <w:szCs w:val="20"/>
        </w:rPr>
        <w:t>ố định</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Khối lượng urani nghèo dùng để che chắn nguồn (nêu có):</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Phân tích và đánh giá các nguy cơ gây ra việc mất an ninh trong quá trình vận chuyển</w:t>
      </w:r>
    </w:p>
    <w:p w:rsidR="001234B9" w:rsidRPr="00910E00" w:rsidRDefault="001234B9" w:rsidP="001234B9">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2.1.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Đánh giá các nguy cơ có thể xảy ra trong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khả năng tiếp cận trái phép, chiếm đoạt nguồn phóng xạ hoặc thực hiện hành vi phá hoại trên tuyến đường dự kiến.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nguy cơ mất an ninh đối với loại phương tiện dự kiến sử dụng để vận chuyển nguồn phóng xạ.</w:t>
      </w:r>
    </w:p>
    <w:p w:rsidR="001234B9" w:rsidRPr="00910E00" w:rsidRDefault="001234B9" w:rsidP="001234B9">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2.2.</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Phân tích kịch bản mất an ninh có thể xảy ra trong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trên đường vận chuyển hoặc tại địa điểm lưu giữ nguồn phóng xạ tạm thời.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chiếm đoạt hoặc phá hoại phương tiện đang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phương tiện vận chuyển nguồn phóng xạ hoặc địa điểm lưu giữ tạm thời nguồn phóng xạ.</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 …</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Bảo đảm an ninh trong quá trình vận chuyển</w:t>
      </w:r>
    </w:p>
    <w:p w:rsidR="001234B9" w:rsidRPr="00910E00" w:rsidRDefault="001234B9" w:rsidP="001234B9">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3.1.</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Các Kế hoạch bảo đảm an ninh trong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nguồn nhân lực và trang thiết bị bảo đảm an ninh trong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quy cách đóng gói để vận chuyển nguồn phóng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chi tiết về phương tiện chuyên chở được thiết kế đặc biệt cho việc vận chuyển kiện hàng.</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thiết bị phát hiện can thiệp và gắn niêm phong đối với kiện hàng và phương tiện vận chuyển.</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color w:val="000000" w:themeColor="text1"/>
          <w:sz w:val="20"/>
          <w:szCs w:val="20"/>
        </w:rPr>
        <w:t>- Loại khóa đối với kiện hàng, khoang chứa hàng và phương tiện vận chuyển.</w:t>
      </w:r>
      <w:r>
        <w:rPr>
          <w:rFonts w:ascii="Arial" w:hAnsi="Arial" w:cs="Arial"/>
          <w:color w:val="000000" w:themeColor="text1"/>
          <w:sz w:val="20"/>
          <w:szCs w:val="20"/>
          <w:vertAlign w:val="superscript"/>
        </w:rPr>
        <w:t>6</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Phương thức trao đổi thông tin trong quá trình vận chuyển và biện pháp trao đổi thông tin thay thế khi cần và phải bao gồm việc trao đổi thông tin giữa bên gửi, bên vận chuyển, bên nhận, cơ quan công an và cơ quan hỗ trợ khác trong trường hợp khẩn cấp.</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Trường hợp vận chuyển nguồn phóng xạ thuộc mức an ninh A, phải có xe hộ tống đi kèm.</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biện pháp xác định vị trí phương tiện vận chuyển nguồn phóng xạ.</w:t>
      </w:r>
    </w:p>
    <w:p w:rsidR="001234B9" w:rsidRPr="00910E00" w:rsidRDefault="001234B9" w:rsidP="001234B9">
      <w:pPr>
        <w:adjustRightInd w:val="0"/>
        <w:snapToGrid w:val="0"/>
        <w:spacing w:after="120" w:line="240" w:lineRule="auto"/>
        <w:ind w:firstLine="720"/>
        <w:jc w:val="both"/>
        <w:rPr>
          <w:rFonts w:ascii="Arial" w:hAnsi="Arial" w:cs="Arial"/>
          <w:i/>
          <w:color w:val="000000" w:themeColor="text1"/>
          <w:sz w:val="20"/>
          <w:szCs w:val="20"/>
        </w:rPr>
      </w:pPr>
      <w:r w:rsidRPr="00910E00">
        <w:rPr>
          <w:rFonts w:ascii="Arial" w:hAnsi="Arial" w:cs="Arial"/>
          <w:b/>
          <w:i/>
          <w:color w:val="000000" w:themeColor="text1"/>
          <w:sz w:val="20"/>
          <w:szCs w:val="20"/>
        </w:rPr>
        <w:t>3.2.</w:t>
      </w:r>
      <w:r w:rsidRPr="00910E00">
        <w:rPr>
          <w:rFonts w:ascii="Arial" w:hAnsi="Arial" w:cs="Arial"/>
          <w:i/>
          <w:color w:val="000000" w:themeColor="text1"/>
          <w:sz w:val="20"/>
          <w:szCs w:val="20"/>
        </w:rPr>
        <w:t xml:space="preserve"> </w:t>
      </w:r>
      <w:r w:rsidRPr="00910E00">
        <w:rPr>
          <w:rFonts w:ascii="Arial" w:hAnsi="Arial" w:cs="Arial"/>
          <w:b/>
          <w:i/>
          <w:color w:val="000000" w:themeColor="text1"/>
          <w:sz w:val="20"/>
          <w:szCs w:val="20"/>
        </w:rPr>
        <w:t>Các quy trình</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giao - nhận nguồn phóng xạ và chuyển giao trách nhiệm</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giao - nhận nguồn phóng xạ và chuyển giao trách nhiệm bao gồm các nội dung sau:</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việc chuyển giao trách nhiệm trong quá trình giao - nhận, thời gian, địa điểm giao nhận nguồn phóng xạ giữa bên gửi, bên vận chuyển và bên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số lượng, chủng loại nguồn được bàn giao;</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Lập biên bản bàn giao kiện hàng và giao trách nhiệm của các bên liên quan trong quá trình vận chuyển, bao gồm danh sách người tham gia quá trình giao - nhận nguồn (mỗi bên tối thiểu 02 người).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lưu kho tạm thời trên đường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lưu kho tạm thời trên đường vận chuyển bao gồm:</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Kiểm tra số lượng, chủng loại nguồn khi nhập và xuất kho lưu tạm thời;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Thiết lập Kế hoạch bảo đảm an ninh tạm thời đối với nguồn phóng xạ tại kho lưu tạm thời;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Lập biên bản nhập và xuất kho lưu tạm thời.</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3.2.3.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diễn tập</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diễn tập bao gồm nội dung:</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kế hoạch đào tạo bao gồm các vị trí cần đào tạo liên quan đến vận chuyển nguồn phóng xạ và tần suất đào tạo cho mỗi vị trí;</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Đưa ra kế hoạch diễn tập cụ thể và tần suất thực hiện.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Quản lý thông tin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Các loại thông tin liên quan đến hoạt động vận chuyển nguồn phóng xạ cần bảo vệ bao gồm:</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xạ/thiết bị bức xạ;</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Tuyến đường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giao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trực tiếp giao nhận, nhân viên tham gia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Kế hoạch bảo đảm an ninh được áp dụng.</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Nhân viên trực tiếp giao nhận, nhân viên tham gia vận chuyển phải bảo đảm việc giữ bí mật các thông tin liên quan tới an ninh nguồn phóng xạ và chịu trách nhiệm khi cung cấp thông tin cho tổ chức, cá nhân khác.</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Ứng phó sự cố</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Trao đổi thông tin khi xảy ra sự cố</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Đưa ra danh sách đầu mối liên lạc trong trường hợp xảy ra sự cố an ninh nguồn phóng xạ, bao gồm:</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áp tải, giám sát;</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Bên vận chuyển, bên gửi và bên nhận;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quan quản lý liên quan đến quá trình vận chuyển;</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Lực lượng ứng phó.</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i/>
          <w:color w:val="000000" w:themeColor="text1"/>
          <w:sz w:val="20"/>
          <w:szCs w:val="20"/>
        </w:rPr>
        <w:t>4.2.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Kịch bản ứng phó sự cố</w:t>
      </w:r>
    </w:p>
    <w:p w:rsidR="001234B9" w:rsidRPr="00B539AF"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Cần có cơ chế phối hợp với lực lượng ứng phó sự cố trước khi thực hiện chuyến hàng.</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Xây dựng kịch bản ứng phó sự cố trong trường hợp xảy ra sự cố mất an ninh nguồn phóng xạ dựa trên các nguy cơ và kịch bản đã được phân tích, đánh giá tại khoản 2 Mục II của Kế hoạch này. Trong mỗi kịch bản cần mô tả: Tình huống xảy ra, các biện pháp ứng phó, lực lượng tham gia ứng phó sự cố, các trang thiết bị, đặc biệt quan tâm đến việc vô hiệu hóa kẻ xấu để lấy lại quyền kiểm soát đối với chuyến hàng, kiện hàng và nguồn phóng xạ.</w:t>
      </w:r>
    </w:p>
    <w:p w:rsidR="001234B9" w:rsidRDefault="001234B9" w:rsidP="001234B9">
      <w:pPr>
        <w:spacing w:after="0" w:line="240" w:lineRule="auto"/>
        <w:jc w:val="both"/>
        <w:rPr>
          <w:rFonts w:ascii="Arial" w:hAnsi="Arial" w:cs="Arial"/>
          <w:color w:val="000000" w:themeColor="text1"/>
          <w:sz w:val="20"/>
          <w:szCs w:val="20"/>
        </w:rPr>
      </w:pP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________________________________________</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1</w:t>
      </w:r>
      <w:r>
        <w:rPr>
          <w:rFonts w:ascii="Arial" w:hAnsi="Arial" w:cs="Arial"/>
          <w:color w:val="000000" w:themeColor="text1"/>
          <w:sz w:val="20"/>
          <w:szCs w:val="20"/>
        </w:rPr>
        <w:t xml:space="preserve"> Áp dụng cho nguồn phóng xạ nhóm 1, nhóm 2, nhóm 3 theo Quy chuẩn kỹ thuật Quốc gia về phân nhóm nguồn phóng xạ.</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2 </w:t>
      </w:r>
      <w:r>
        <w:rPr>
          <w:rFonts w:ascii="Arial" w:hAnsi="Arial" w:cs="Arial"/>
          <w:color w:val="000000" w:themeColor="text1"/>
          <w:sz w:val="20"/>
          <w:szCs w:val="20"/>
        </w:rPr>
        <w:t>Không áp dụng trong trường hợp vận chuyển bằng đường sắt.</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3 </w:t>
      </w:r>
      <w:r>
        <w:rPr>
          <w:rFonts w:ascii="Arial" w:hAnsi="Arial" w:cs="Arial"/>
          <w:color w:val="000000" w:themeColor="text1"/>
          <w:sz w:val="20"/>
          <w:szCs w:val="20"/>
        </w:rPr>
        <w:t>Áp dụng trong trường hợp vận chuyển nguồn phóng xạ thuộc mức an ninh A.</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4 </w:t>
      </w:r>
      <w:r>
        <w:rPr>
          <w:rFonts w:ascii="Arial" w:hAnsi="Arial" w:cs="Arial"/>
          <w:color w:val="000000" w:themeColor="text1"/>
          <w:sz w:val="20"/>
          <w:szCs w:val="20"/>
        </w:rPr>
        <w:t>Áp dụng trong trường hợp vận chuyển nguồn phóng xạ thuộc mức an ninh A và B bằng đường bộ.</w:t>
      </w:r>
    </w:p>
    <w:p w:rsidR="001234B9"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vertAlign w:val="superscript"/>
        </w:rPr>
        <w:t>5</w:t>
      </w:r>
      <w:r w:rsidRPr="00B539AF">
        <w:rPr>
          <w:rFonts w:ascii="Arial" w:hAnsi="Arial" w:cs="Arial"/>
          <w:color w:val="000000" w:themeColor="text1"/>
          <w:sz w:val="20"/>
          <w:szCs w:val="20"/>
        </w:rPr>
        <w:t xml:space="preserve"> Áp dụng trong trường hợp nguồn đã được lắp đặt sẵn trên thiết bị tại thời điểm xin cấp phép.</w:t>
      </w:r>
    </w:p>
    <w:p w:rsidR="001234B9" w:rsidRPr="00910E00" w:rsidRDefault="001234B9" w:rsidP="001234B9">
      <w:pPr>
        <w:adjustRightInd w:val="0"/>
        <w:snapToGrid w:val="0"/>
        <w:spacing w:after="120" w:line="240" w:lineRule="auto"/>
        <w:ind w:firstLine="720"/>
        <w:jc w:val="both"/>
        <w:rPr>
          <w:rFonts w:ascii="Arial" w:hAnsi="Arial" w:cs="Arial"/>
          <w:color w:val="000000" w:themeColor="text1"/>
          <w:sz w:val="20"/>
          <w:szCs w:val="20"/>
        </w:rPr>
      </w:pPr>
      <w:r w:rsidRPr="00910E00">
        <w:rPr>
          <w:rFonts w:ascii="Arial" w:hAnsi="Arial" w:cs="Arial"/>
          <w:color w:val="000000" w:themeColor="text1"/>
          <w:sz w:val="20"/>
          <w:szCs w:val="20"/>
          <w:vertAlign w:val="superscript"/>
        </w:rPr>
        <w:t xml:space="preserve">6 </w:t>
      </w:r>
      <w:r w:rsidRPr="00910E00">
        <w:rPr>
          <w:rFonts w:ascii="Arial" w:hAnsi="Arial" w:cs="Arial"/>
          <w:color w:val="000000" w:themeColor="text1"/>
          <w:sz w:val="20"/>
          <w:szCs w:val="20"/>
        </w:rPr>
        <w:t>Trong trường hợp vận c</w:t>
      </w:r>
      <w:r>
        <w:rPr>
          <w:rFonts w:ascii="Arial" w:hAnsi="Arial" w:cs="Arial"/>
          <w:color w:val="000000" w:themeColor="text1"/>
          <w:sz w:val="20"/>
          <w:szCs w:val="20"/>
        </w:rPr>
        <w:t>huyển nguồn phóng xạ thuộc mức an ninh A và B, cá nhân/tổ chức được cấp phép nên sử dụng ít nhất 02 khóa có trang bị công nghệ bảo mật khác nhau.</w:t>
      </w:r>
    </w:p>
    <w:p w:rsidR="0034473B" w:rsidRDefault="001234B9">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B9"/>
    <w:rsid w:val="00017AFF"/>
    <w:rsid w:val="000C3E46"/>
    <w:rsid w:val="001234B9"/>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10FFF-C20F-4A20-B1A8-63F77E75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4B9"/>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1782</Words>
  <Characters>10161</Characters>
  <Application>Microsoft Office Word</Application>
  <DocSecurity>0</DocSecurity>
  <Lines>84</Lines>
  <Paragraphs>23</Paragraphs>
  <ScaleCrop>false</ScaleCrop>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2025-12-29T03:32:00Z</dcterms:created>
  <dcterms:modified xsi:type="dcterms:W3CDTF">2025-12-29T03:32:00Z</dcterms:modified>
</cp:coreProperties>
</file>